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8" w:rsidRPr="00A31A3F" w:rsidRDefault="00F15DD0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Sport Premium Report </w:t>
      </w:r>
      <w:r w:rsidR="00BC30E2">
        <w:rPr>
          <w:rFonts w:ascii="Century Gothic" w:hAnsi="Century Gothic"/>
          <w:b/>
          <w:sz w:val="48"/>
          <w:szCs w:val="56"/>
        </w:rPr>
        <w:t>/ Action Plan</w:t>
      </w:r>
    </w:p>
    <w:p w:rsidR="00563C54" w:rsidRDefault="00F15DD0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>2020</w:t>
      </w:r>
      <w:r w:rsidR="00563C54" w:rsidRPr="00A31A3F">
        <w:rPr>
          <w:rFonts w:ascii="Century Gothic" w:hAnsi="Century Gothic"/>
          <w:b/>
          <w:sz w:val="48"/>
          <w:szCs w:val="56"/>
        </w:rPr>
        <w:t>–</w:t>
      </w:r>
      <w:r>
        <w:rPr>
          <w:rFonts w:ascii="Century Gothic" w:hAnsi="Century Gothic"/>
          <w:b/>
          <w:sz w:val="48"/>
          <w:szCs w:val="56"/>
        </w:rPr>
        <w:t>2021</w:t>
      </w:r>
      <w:r w:rsidR="00381AEA">
        <w:rPr>
          <w:rFonts w:ascii="Century Gothic" w:hAnsi="Century Gothic"/>
          <w:b/>
          <w:sz w:val="48"/>
          <w:szCs w:val="56"/>
        </w:rPr>
        <w:t xml:space="preserve"> </w:t>
      </w:r>
    </w:p>
    <w:p w:rsidR="00BB33D1" w:rsidRDefault="00BB33D1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bookmarkStart w:id="0" w:name="_GoBack"/>
      <w:bookmarkEnd w:id="0"/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170634</wp:posOffset>
            </wp:positionH>
            <wp:positionV relativeFrom="paragraph">
              <wp:posOffset>27305</wp:posOffset>
            </wp:positionV>
            <wp:extent cx="9488658" cy="2421890"/>
            <wp:effectExtent l="0" t="0" r="0" b="0"/>
            <wp:wrapNone/>
            <wp:docPr id="30" name="Picture 30" descr="http://www.carbeile.cornwall.sch.uk/wp-content/uploads/2015/11/5H6A4833-e156354170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rbeile.cornwall.sch.uk/wp-content/uploads/2015/11/5H6A4833-e1563541700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946" cy="243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4779FC" w:rsidRDefault="004779FC" w:rsidP="00BB33D1">
      <w:pPr>
        <w:pStyle w:val="Default"/>
        <w:rPr>
          <w:rFonts w:ascii="Century Gothic" w:hAnsi="Century Gothic" w:cs="Times New Roman"/>
          <w:b/>
          <w:bCs/>
        </w:rPr>
      </w:pPr>
    </w:p>
    <w:p w:rsidR="00BB33D1" w:rsidRPr="00D86C78" w:rsidRDefault="00BB33D1" w:rsidP="00BB33D1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Background - </w:t>
      </w:r>
      <w:r w:rsidRPr="00D86C78">
        <w:rPr>
          <w:rFonts w:ascii="Century Gothic" w:hAnsi="Century Gothic" w:cs="Times New Roman"/>
        </w:rPr>
        <w:t>The primary school sport premium investment goes direct to primary school and is designed to support improvements in the quality and depth of PE and school sport.</w:t>
      </w:r>
      <w:r>
        <w:rPr>
          <w:rFonts w:ascii="Century Gothic" w:hAnsi="Century Gothic" w:cs="Times New Roman"/>
        </w:rPr>
        <w:t xml:space="preserve"> Due to the restrictions over the last two academic years, the </w:t>
      </w:r>
      <w:r w:rsidR="00820963">
        <w:rPr>
          <w:rFonts w:ascii="Century Gothic" w:hAnsi="Century Gothic" w:cs="Times New Roman"/>
        </w:rPr>
        <w:t xml:space="preserve">delivery of sport and </w:t>
      </w:r>
      <w:r w:rsidR="005F0721">
        <w:rPr>
          <w:rFonts w:ascii="Century Gothic" w:hAnsi="Century Gothic" w:cs="Times New Roman"/>
        </w:rPr>
        <w:t>extracurricular</w:t>
      </w:r>
      <w:r w:rsidR="00820963">
        <w:rPr>
          <w:rFonts w:ascii="Century Gothic" w:hAnsi="Century Gothic" w:cs="Times New Roman"/>
        </w:rPr>
        <w:t xml:space="preserve"> activity that we can offer has been </w:t>
      </w:r>
      <w:r w:rsidR="005F0721">
        <w:rPr>
          <w:rFonts w:ascii="Century Gothic" w:hAnsi="Century Gothic" w:cs="Times New Roman"/>
        </w:rPr>
        <w:t>severely</w:t>
      </w:r>
      <w:r w:rsidR="00820963">
        <w:rPr>
          <w:rFonts w:ascii="Century Gothic" w:hAnsi="Century Gothic" w:cs="Times New Roman"/>
        </w:rPr>
        <w:t xml:space="preserve"> affected.</w:t>
      </w:r>
    </w:p>
    <w:p w:rsidR="00BB33D1" w:rsidRDefault="00BB33D1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</w:p>
    <w:p w:rsidR="00BB33D1" w:rsidRDefault="00BB33D1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</w:p>
    <w:p w:rsidR="005F0721" w:rsidRDefault="005F0721" w:rsidP="007349A5">
      <w:pPr>
        <w:pStyle w:val="Default"/>
        <w:rPr>
          <w:rFonts w:ascii="Century Gothic" w:hAnsi="Century Gothic" w:cstheme="minorBidi"/>
          <w:b/>
          <w:color w:val="auto"/>
          <w:sz w:val="48"/>
          <w:szCs w:val="56"/>
        </w:rPr>
      </w:pPr>
    </w:p>
    <w:p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lastRenderedPageBreak/>
        <w:t xml:space="preserve">Key Indicators - </w:t>
      </w:r>
      <w:r w:rsidRPr="00D86C78">
        <w:rPr>
          <w:rFonts w:ascii="Century Gothic" w:hAnsi="Century Gothic" w:cs="Times New Roman"/>
        </w:rPr>
        <w:t xml:space="preserve">The Department for Education vision is that all pupils leaving primary school are physically literate and have the knowledge, skills and motivation necessary to equip them for a healthy lifestyle and lifelong participation in physical activity and sport. The objective is to achieve self-sustaining improvement in the quality of PE and sport that delivers high quality provision of a balanced and holistic PE and school sport offer. There are 5 key indicators that schools should expect to see improvement across: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engagement of all pupils in regular physical activity - the Chief Medical Officer guidelines recommend that all children and young people aged 5 to 18 engage in at least 60 minutes of physical activity a day, of which 30 minutes should be in school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profile of PE and sport is raised across the school as a tool for whole-school improvement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confidence, knowledge and skills of all staff in teaching PE and sport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Broader</w:t>
      </w:r>
      <w:r w:rsidR="007349A5" w:rsidRPr="00D86C78">
        <w:rPr>
          <w:rFonts w:ascii="Century Gothic" w:hAnsi="Century Gothic" w:cs="Times New Roman"/>
        </w:rPr>
        <w:t xml:space="preserve"> experience of a range of sports and activities offered to all pupils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participation in competitive sport </w:t>
      </w:r>
    </w:p>
    <w:p w:rsidR="007349A5" w:rsidRPr="00D86C78" w:rsidRDefault="007349A5" w:rsidP="007349A5">
      <w:pPr>
        <w:pStyle w:val="NormalWeb"/>
        <w:shd w:val="clear" w:color="auto" w:fill="FFFFFF"/>
        <w:spacing w:before="240" w:after="120" w:line="240" w:lineRule="auto"/>
        <w:jc w:val="both"/>
        <w:rPr>
          <w:rFonts w:ascii="Century Gothic" w:hAnsi="Century Gothic"/>
          <w:lang w:val="en"/>
        </w:rPr>
      </w:pPr>
      <w:r w:rsidRPr="00D86C78">
        <w:rPr>
          <w:rStyle w:val="Strong"/>
          <w:rFonts w:ascii="Century Gothic" w:hAnsi="Century Gothic"/>
          <w:color w:val="215868" w:themeColor="accent5" w:themeShade="80"/>
          <w:lang w:val="en"/>
        </w:rPr>
        <w:t xml:space="preserve">Funding - </w:t>
      </w:r>
      <w:r w:rsidRPr="00D86C78">
        <w:rPr>
          <w:rFonts w:ascii="Century Gothic" w:hAnsi="Century Gothic"/>
          <w:lang w:val="en"/>
        </w:rPr>
        <w:t>Individual s</w:t>
      </w:r>
      <w:r w:rsidR="00674193">
        <w:rPr>
          <w:rFonts w:ascii="Century Gothic" w:hAnsi="Century Gothic"/>
          <w:lang w:val="en"/>
        </w:rPr>
        <w:t>chools will receive circa £16K</w:t>
      </w:r>
      <w:r w:rsidR="00FD2D6C">
        <w:rPr>
          <w:rFonts w:ascii="Century Gothic" w:hAnsi="Century Gothic"/>
          <w:lang w:val="en"/>
        </w:rPr>
        <w:t xml:space="preserve"> –17K</w:t>
      </w:r>
      <w:r w:rsidR="00674193">
        <w:rPr>
          <w:rFonts w:ascii="Century Gothic" w:hAnsi="Century Gothic"/>
          <w:lang w:val="en"/>
        </w:rPr>
        <w:t xml:space="preserve"> </w:t>
      </w:r>
      <w:r w:rsidRPr="00D86C78">
        <w:rPr>
          <w:rFonts w:ascii="Century Gothic" w:hAnsi="Century Gothic"/>
          <w:lang w:val="en"/>
        </w:rPr>
        <w:t xml:space="preserve">per annum (depending on the number of pupils) which they can use to support these outcomes through various options including; release of staff for CPD, employing specialists to work alongside teachers, cluster work with other schools and partnerships, transport, equipment, hall and pool hire etc. </w:t>
      </w:r>
    </w:p>
    <w:tbl>
      <w:tblPr>
        <w:tblStyle w:val="TableGrid"/>
        <w:tblW w:w="150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  <w:gridCol w:w="2410"/>
        <w:gridCol w:w="6804"/>
      </w:tblGrid>
      <w:tr w:rsidR="00103477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103477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The total funding for the academic year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103477" w:rsidRPr="00D86C78" w:rsidRDefault="00F15DD0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2020/21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BC349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Funding allocated</w:t>
            </w:r>
            <w:r w:rsidR="00E1123B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- £</w:t>
            </w:r>
            <w:r w:rsidR="005F0721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22,789</w:t>
            </w:r>
          </w:p>
        </w:tc>
      </w:tr>
      <w:tr w:rsidR="00885161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885161" w:rsidP="00C8527B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Lead M</w:t>
            </w:r>
            <w:r w:rsidR="00BC3491"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ember of Staff – </w:t>
            </w:r>
            <w:r w:rsidR="00C8527B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Tom James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9523D6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</w:t>
            </w:r>
            <w:r w:rsidR="00C8527B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020/2021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885161" w:rsidP="00F15DD0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Governor responsible </w:t>
            </w:r>
            <w:r w:rsidR="00A31A3F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–</w:t>
            </w: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</w:t>
            </w:r>
          </w:p>
        </w:tc>
      </w:tr>
      <w:tr w:rsidR="002B05B3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2B05B3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Total fund allocated - </w:t>
            </w: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£</w:t>
            </w:r>
            <w:proofErr w:type="spellStart"/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xxxx</w:t>
            </w:r>
            <w:proofErr w:type="spellEnd"/>
          </w:p>
        </w:tc>
        <w:tc>
          <w:tcPr>
            <w:tcW w:w="9214" w:type="dxa"/>
            <w:gridSpan w:val="2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C8527B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To be Updated – June 2022</w:t>
            </w:r>
          </w:p>
        </w:tc>
      </w:tr>
    </w:tbl>
    <w:p w:rsidR="002B05B3" w:rsidRDefault="002B05B3">
      <w:r>
        <w:br w:type="page"/>
      </w:r>
    </w:p>
    <w:tbl>
      <w:tblPr>
        <w:tblW w:w="16160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9214"/>
      </w:tblGrid>
      <w:tr w:rsidR="009226B5" w:rsidRPr="00D86C78" w:rsidTr="002E1833">
        <w:trPr>
          <w:trHeight w:val="429"/>
          <w:jc w:val="center"/>
        </w:trPr>
        <w:tc>
          <w:tcPr>
            <w:tcW w:w="6946" w:type="dxa"/>
            <w:shd w:val="clear" w:color="auto" w:fill="215868" w:themeFill="accent5" w:themeFillShade="80"/>
            <w:vAlign w:val="center"/>
          </w:tcPr>
          <w:p w:rsidR="009226B5" w:rsidRPr="002E1833" w:rsidRDefault="00D86C78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D86C78">
              <w:rPr>
                <w:rFonts w:ascii="Century Gothic" w:hAnsi="Century Gothic"/>
              </w:rPr>
              <w:lastRenderedPageBreak/>
              <w:br w:type="page"/>
            </w:r>
            <w:r w:rsidR="009226B5"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Key achievements to date:</w:t>
            </w:r>
          </w:p>
        </w:tc>
        <w:tc>
          <w:tcPr>
            <w:tcW w:w="921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Areas for further improvement and baseline evidence of need:</w:t>
            </w:r>
          </w:p>
        </w:tc>
      </w:tr>
      <w:tr w:rsidR="00366C6D" w:rsidRPr="00D86C78" w:rsidTr="002E1833">
        <w:trPr>
          <w:trHeight w:val="2361"/>
          <w:jc w:val="center"/>
        </w:trPr>
        <w:tc>
          <w:tcPr>
            <w:tcW w:w="6946" w:type="dxa"/>
            <w:tcBorders>
              <w:bottom w:val="single" w:sz="24" w:space="0" w:color="auto"/>
            </w:tcBorders>
          </w:tcPr>
          <w:p w:rsidR="00366C6D" w:rsidRPr="00366C6D" w:rsidRDefault="00C8527B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Underspend from last year to be allocated this academic year.</w:t>
            </w:r>
          </w:p>
          <w:p w:rsidR="00366C6D" w:rsidRPr="00366C6D" w:rsidRDefault="00366C6D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Playground</w:t>
            </w:r>
            <w:r w:rsidR="00C8527B">
              <w:rPr>
                <w:rFonts w:ascii="Century Gothic" w:eastAsia="Calibri" w:hAnsi="Century Gothic" w:cs="Calibri"/>
                <w:sz w:val="24"/>
                <w:lang w:val="en-US"/>
              </w:rPr>
              <w:t xml:space="preserve"> equipment sorted into bubbles</w:t>
            </w:r>
          </w:p>
          <w:p w:rsidR="00366C6D" w:rsidRPr="00366C6D" w:rsidRDefault="00366C6D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Successful 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>a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lternative sports day delivered</w:t>
            </w:r>
          </w:p>
          <w:p w:rsidR="00366C6D" w:rsidRDefault="002B05B3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Subject L</w:t>
            </w:r>
            <w:r w:rsidR="00366C6D" w:rsidRPr="00366C6D">
              <w:rPr>
                <w:rFonts w:ascii="Century Gothic" w:eastAsia="Calibri" w:hAnsi="Century Gothic" w:cs="Calibri"/>
                <w:sz w:val="24"/>
                <w:lang w:val="en-US"/>
              </w:rPr>
              <w:t>eader in PE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-</w:t>
            </w:r>
            <w:r w:rsidR="00366C6D"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awarded subject leader accreditation and this has supported the leadership of PE.</w:t>
            </w:r>
          </w:p>
          <w:p w:rsidR="00F15DD0" w:rsidRDefault="00C8527B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Key areas for 2021-22 identified.</w:t>
            </w:r>
            <w:r w:rsidR="00F15DD0"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  <w:p w:rsidR="00F15DD0" w:rsidRPr="00366C6D" w:rsidRDefault="00F15DD0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upskill key members of staff within the school to increase knowledge and understanding in the delivery of PE school sport and physical activity.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  <w:p w:rsidR="00C8527B" w:rsidRDefault="00F15DD0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improve the playground area to ensure it is engaging and children have equipment to use which increases their physical activity.</w:t>
            </w:r>
          </w:p>
          <w:p w:rsidR="00F15DD0" w:rsidRDefault="00F15DD0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Daily mile started off with great success and engagement</w:t>
            </w:r>
          </w:p>
          <w:p w:rsidR="004779FC" w:rsidRPr="00F15DD0" w:rsidRDefault="004779FC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Very successful beach trips for Yr5/6 – Surfing, volleyball and OAA opportunities.</w:t>
            </w:r>
          </w:p>
        </w:tc>
        <w:tc>
          <w:tcPr>
            <w:tcW w:w="9214" w:type="dxa"/>
            <w:tcBorders>
              <w:bottom w:val="single" w:sz="24" w:space="0" w:color="auto"/>
            </w:tcBorders>
          </w:tcPr>
          <w:p w:rsidR="00366C6D" w:rsidRPr="00366C6D" w:rsidRDefault="00366C6D" w:rsidP="00C852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ensure there is continuity and progression in the delivery of curriculum PE and there is an engaging, broad and balanced curriculum in place.</w:t>
            </w:r>
            <w:r w:rsidR="00F15DD0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Coverage to be reallocated</w:t>
            </w:r>
          </w:p>
          <w:p w:rsidR="00366C6D" w:rsidRDefault="00366C6D" w:rsidP="00C852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deliver outdoor learning </w:t>
            </w:r>
            <w:proofErr w:type="spellStart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programmes</w:t>
            </w:r>
            <w:proofErr w:type="spellEnd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engage reluctant writers/mathematicians through learning in the outdoors.</w:t>
            </w:r>
          </w:p>
          <w:p w:rsidR="00F15DD0" w:rsidRDefault="00F15DD0" w:rsidP="00C852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Development sport leaders and playground buddies. Due to restrictions, this has not happened and next year this will be needed!</w:t>
            </w:r>
          </w:p>
          <w:p w:rsidR="00F15DD0" w:rsidRPr="004779FC" w:rsidRDefault="00F15DD0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Extra-</w:t>
            </w:r>
            <w:r w:rsidRPr="004779FC">
              <w:rPr>
                <w:rFonts w:ascii="Century Gothic" w:eastAsia="Calibri" w:hAnsi="Century Gothic" w:cs="Calibri"/>
                <w:sz w:val="24"/>
                <w:szCs w:val="24"/>
                <w:lang w:val="en-US"/>
              </w:rPr>
              <w:t>curricular sport to start up again fully – clubs</w:t>
            </w:r>
          </w:p>
          <w:p w:rsidR="00F15DD0" w:rsidRPr="004779FC" w:rsidRDefault="00F15DD0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szCs w:val="24"/>
                <w:lang w:val="en-US"/>
              </w:rPr>
            </w:pPr>
            <w:r w:rsidRPr="004779FC">
              <w:rPr>
                <w:rFonts w:ascii="Century Gothic" w:eastAsia="Calibri" w:hAnsi="Century Gothic" w:cs="Calibri"/>
                <w:sz w:val="24"/>
                <w:szCs w:val="24"/>
                <w:lang w:val="en-US"/>
              </w:rPr>
              <w:t>Development of the daily mile challenge</w:t>
            </w:r>
          </w:p>
          <w:p w:rsidR="004779FC" w:rsidRPr="004779FC" w:rsidRDefault="004779FC" w:rsidP="00F15DD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szCs w:val="24"/>
                <w:lang w:val="en-US"/>
              </w:rPr>
            </w:pPr>
            <w:proofErr w:type="spellStart"/>
            <w:r w:rsidRPr="004779FC">
              <w:rPr>
                <w:rFonts w:ascii="Century Gothic" w:hAnsi="Century Gothic" w:cstheme="minorHAnsi"/>
                <w:sz w:val="24"/>
                <w:szCs w:val="24"/>
              </w:rPr>
              <w:t>Porthpean</w:t>
            </w:r>
            <w:proofErr w:type="spellEnd"/>
            <w:r w:rsidRPr="004779FC">
              <w:rPr>
                <w:rFonts w:ascii="Century Gothic" w:hAnsi="Century Gothic" w:cstheme="minorHAnsi"/>
                <w:sz w:val="24"/>
                <w:szCs w:val="24"/>
              </w:rPr>
              <w:t xml:space="preserve"> residential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 xml:space="preserve"> trip for Yr5/6.</w:t>
            </w:r>
            <w:r w:rsidRPr="004779F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Year 5</w:t>
            </w:r>
            <w:r w:rsidRPr="004779FC">
              <w:rPr>
                <w:rFonts w:ascii="Century Gothic" w:hAnsi="Century Gothic" w:cstheme="minorHAnsi"/>
                <w:sz w:val="24"/>
                <w:szCs w:val="24"/>
              </w:rPr>
              <w:t xml:space="preserve"> will now go next year. Further to this at a time where sport and PE opportunities are more limited than usual we will explore areas where we can still achieve our intentions within the restrictions.</w:t>
            </w:r>
          </w:p>
          <w:p w:rsidR="000B4DF5" w:rsidRPr="00366C6D" w:rsidRDefault="000B4DF5" w:rsidP="00F15DD0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</w:tr>
      <w:tr w:rsidR="004779FC" w:rsidRPr="00D86C78" w:rsidTr="002A4A4B">
        <w:trPr>
          <w:trHeight w:val="2361"/>
          <w:jc w:val="center"/>
        </w:trPr>
        <w:tc>
          <w:tcPr>
            <w:tcW w:w="16160" w:type="dxa"/>
            <w:gridSpan w:val="2"/>
            <w:tcBorders>
              <w:bottom w:val="single" w:sz="24" w:space="0" w:color="auto"/>
            </w:tcBorders>
          </w:tcPr>
          <w:p w:rsidR="004779FC" w:rsidRPr="00724457" w:rsidRDefault="004779FC" w:rsidP="004779F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2445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ADDENDUM</w:t>
            </w:r>
          </w:p>
          <w:p w:rsidR="004779FC" w:rsidRPr="00366C6D" w:rsidRDefault="004779FC" w:rsidP="004779F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24457">
              <w:rPr>
                <w:rFonts w:cstheme="minorHAnsi"/>
                <w:sz w:val="28"/>
                <w:szCs w:val="28"/>
              </w:rPr>
              <w:t>This year as a result of the closure of schools for most children through the COVID-19 pandemic many sporting events have been either cancelled or postponed. The spending for the year has still been doc</w:t>
            </w:r>
            <w:r>
              <w:rPr>
                <w:rFonts w:cstheme="minorHAnsi"/>
                <w:sz w:val="28"/>
                <w:szCs w:val="28"/>
              </w:rPr>
              <w:t xml:space="preserve">umented in full in this document, however, some key indicators have been more challenging to target due to restrictions. </w:t>
            </w:r>
            <w:r w:rsidRPr="00724457">
              <w:rPr>
                <w:rFonts w:cstheme="minorHAnsi"/>
                <w:sz w:val="28"/>
                <w:szCs w:val="28"/>
              </w:rPr>
              <w:t xml:space="preserve"> In some cases- including portions of </w:t>
            </w:r>
            <w:proofErr w:type="spellStart"/>
            <w:r w:rsidRPr="00724457">
              <w:rPr>
                <w:rFonts w:cstheme="minorHAnsi"/>
                <w:sz w:val="28"/>
                <w:szCs w:val="28"/>
              </w:rPr>
              <w:t>Carbeile</w:t>
            </w:r>
            <w:proofErr w:type="spellEnd"/>
            <w:r w:rsidRPr="00724457">
              <w:rPr>
                <w:rFonts w:cstheme="minorHAnsi"/>
                <w:sz w:val="28"/>
                <w:szCs w:val="28"/>
              </w:rPr>
              <w:t xml:space="preserve"> staff salaries- the money has still been deducted from the Sports Premium.</w:t>
            </w:r>
            <w:r>
              <w:rPr>
                <w:rFonts w:cstheme="minorHAnsi"/>
                <w:sz w:val="28"/>
                <w:szCs w:val="28"/>
              </w:rPr>
              <w:t xml:space="preserve"> Due to the underspend from 2019-2020, we have mainly allocated the money towards improving equipment, ready to make more impact next year</w:t>
            </w:r>
            <w:r w:rsidRPr="00724457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The areas that we would like to develop are also outlined in this document so that we can maximise the Sport Premium budget next academic year.</w:t>
            </w:r>
            <w:r w:rsidRPr="00724457">
              <w:rPr>
                <w:rFonts w:cstheme="minorHAnsi"/>
                <w:sz w:val="28"/>
                <w:szCs w:val="28"/>
              </w:rPr>
              <w:t xml:space="preserve"> This has been recognised in the national guidelines as an inevitable consequence of the pandemic.</w:t>
            </w:r>
          </w:p>
        </w:tc>
      </w:tr>
      <w:tr w:rsidR="004779FC" w:rsidRPr="00D86C78" w:rsidTr="00F92235">
        <w:trPr>
          <w:trHeight w:val="969"/>
          <w:jc w:val="center"/>
        </w:trPr>
        <w:tc>
          <w:tcPr>
            <w:tcW w:w="16160" w:type="dxa"/>
            <w:gridSpan w:val="2"/>
            <w:tcBorders>
              <w:bottom w:val="single" w:sz="24" w:space="0" w:color="auto"/>
            </w:tcBorders>
          </w:tcPr>
          <w:p w:rsidR="004779FC" w:rsidRPr="00724457" w:rsidRDefault="004779FC" w:rsidP="00F92235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6259"/>
        <w:gridCol w:w="1974"/>
        <w:gridCol w:w="3497"/>
        <w:gridCol w:w="4430"/>
      </w:tblGrid>
      <w:tr w:rsidR="009226B5" w:rsidRPr="00D86C78" w:rsidTr="00D86C78">
        <w:trPr>
          <w:jc w:val="center"/>
        </w:trPr>
        <w:tc>
          <w:tcPr>
            <w:tcW w:w="16160" w:type="dxa"/>
            <w:gridSpan w:val="4"/>
          </w:tcPr>
          <w:p w:rsidR="009226B5" w:rsidRPr="00D86C78" w:rsidRDefault="009226B5" w:rsidP="00D86C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1 :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The engagement of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u w:val="single" w:color="0057A0"/>
                <w:lang w:val="en-US"/>
              </w:rPr>
              <w:t>all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9226B5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9226B5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  <w:p w:rsidR="009523D6" w:rsidRPr="002E1833" w:rsidRDefault="004F4077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(INTENT/Implementation)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9226B5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Evidence and </w:t>
            </w:r>
            <w:r w:rsidR="000B4DF5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</w:t>
            </w: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mpact</w:t>
            </w:r>
          </w:p>
          <w:p w:rsidR="000B4DF5" w:rsidRPr="000B4DF5" w:rsidRDefault="000B4DF5" w:rsidP="000B4DF5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0B4D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Pupil-Impact on pupils participation</w:t>
            </w:r>
          </w:p>
          <w:p w:rsidR="000B4DF5" w:rsidRPr="000B4DF5" w:rsidRDefault="000B4DF5" w:rsidP="000B4DF5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0B4D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Impact on pupils attainment</w:t>
            </w:r>
          </w:p>
          <w:p w:rsidR="000B4DF5" w:rsidRPr="000B4DF5" w:rsidRDefault="000B4DF5" w:rsidP="000B4DF5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0B4D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Any additional impact</w:t>
            </w:r>
          </w:p>
          <w:p w:rsidR="000B4DF5" w:rsidRDefault="000B4DF5" w:rsidP="000B4DF5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0B4D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Whole School Improvement</w:t>
            </w:r>
          </w:p>
          <w:p w:rsidR="004F4077" w:rsidRPr="002E1833" w:rsidRDefault="004F4077" w:rsidP="000B4DF5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trHeight w:val="1337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purchase equipment to increase activity at playtimes and lunchtimes. </w:t>
            </w:r>
            <w:r w:rsidR="00166F3D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Pr="002B05B3">
              <w:rPr>
                <w:rFonts w:ascii="Century Gothic" w:eastAsia="Calibri" w:hAnsi="Century Gothic" w:cs="Calibri"/>
                <w:b/>
                <w:sz w:val="24"/>
                <w:lang w:val="en-US"/>
              </w:rPr>
              <w:t>To support playground leaders and ensure children are active.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Purchase of equipment for outside PE to support the delivery of </w:t>
            </w:r>
            <w:r w:rsidRPr="002B05B3">
              <w:rPr>
                <w:rFonts w:ascii="Century Gothic" w:eastAsia="Calibri" w:hAnsi="Century Gothic" w:cs="Calibri"/>
                <w:b/>
                <w:sz w:val="24"/>
                <w:lang w:val="en-US"/>
              </w:rPr>
              <w:t>the PE curriculum to ensure children have access to a high quality experience in PE.</w:t>
            </w:r>
          </w:p>
          <w:p w:rsid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F0721" w:rsidRDefault="005F072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Sugar Smart 30-30 – Arena Package </w:t>
            </w:r>
            <w:r w:rsidR="00166F3D" w:rsidRPr="002B05B3">
              <w:rPr>
                <w:rFonts w:ascii="Century Gothic" w:eastAsia="Calibri" w:hAnsi="Century Gothic" w:cs="Calibri"/>
                <w:sz w:val="24"/>
                <w:lang w:val="en-US"/>
              </w:rPr>
              <w:t>to support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in developing a plan for both playgrounds to include pupil conferencing and quotes to support the development of active playgrounds for children.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5F072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Develop a daily activity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>timetable to include all activities which are delivered by playground leaders.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To continue to deliver Jumpstart Jonny, skip to be fit challenge and the Arena monthly challenges. To engage children in a broad range of activities.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166F3D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Health and well-being day – Arena to encourage the children to be sugar smart and physical activity through the delivery of a variety of workshops</w:t>
            </w: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Pr="002B05B3" w:rsidRDefault="004F4077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Pr="002B05B3" w:rsidRDefault="004F407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£2000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£1500 </w:t>
            </w:r>
          </w:p>
          <w:p w:rsidR="002B05B3" w:rsidRPr="002B05B3" w:rsidRDefault="002B05B3" w:rsidP="00C8527B">
            <w:pPr>
              <w:jc w:val="center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£500 </w:t>
            </w:r>
          </w:p>
          <w:p w:rsidR="002B05B3" w:rsidRPr="002B05B3" w:rsidRDefault="002B05B3" w:rsidP="00C8527B">
            <w:pPr>
              <w:jc w:val="center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£325 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jc w:val="center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£50 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Arena membership support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£500 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Subscription £50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This has not taken place due to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Covid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19 – this will be rescheduled for the Autumn Term </w:t>
            </w:r>
          </w:p>
          <w:p w:rsid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F4077">
              <w:rPr>
                <w:rFonts w:ascii="Century Gothic" w:hAnsi="Century Gothic"/>
                <w:b/>
                <w:sz w:val="24"/>
                <w:szCs w:val="24"/>
              </w:rPr>
              <w:t>£325</w:t>
            </w: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Pr="004F4077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4F4077">
              <w:rPr>
                <w:rFonts w:ascii="Century Gothic" w:hAnsi="Century Gothic"/>
                <w:sz w:val="24"/>
                <w:szCs w:val="24"/>
              </w:rPr>
              <w:lastRenderedPageBreak/>
              <w:t>£1800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Pr="002B05B3" w:rsidRDefault="000B4DF5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10% 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increase in pupils now taking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part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regular playtime activities weekly ( data collected through absolute education)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Equipment purchased and used to support delivery of physical activity.</w:t>
            </w:r>
            <w:r w:rsidR="000B4DF5">
              <w:rPr>
                <w:rFonts w:ascii="Century Gothic" w:hAnsi="Century Gothic"/>
                <w:sz w:val="24"/>
                <w:szCs w:val="24"/>
              </w:rPr>
              <w:t xml:space="preserve"> This has supported the delivery of new activities including in the curriculum and after school including fencing.</w:t>
            </w:r>
          </w:p>
          <w:p w:rsidR="002B05B3" w:rsidRPr="002B05B3" w:rsidRDefault="002F2813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Pupils more confident in </w:t>
            </w:r>
            <w:r w:rsidR="00DD66F7">
              <w:rPr>
                <w:rFonts w:ascii="Century Gothic" w:hAnsi="Century Gothic"/>
                <w:sz w:val="24"/>
                <w:szCs w:val="24"/>
              </w:rPr>
              <w:t xml:space="preserve"> taking part in </w:t>
            </w:r>
            <w:r>
              <w:rPr>
                <w:rFonts w:ascii="Century Gothic" w:hAnsi="Century Gothic"/>
                <w:sz w:val="24"/>
                <w:szCs w:val="24"/>
              </w:rPr>
              <w:t>new activities ( pupil conferencing)</w:t>
            </w: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3901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Clear action plan in place which has evidenced pupil voice. </w:t>
            </w:r>
            <w:r w:rsidR="00166F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Phase one of the plan implemented with an increase in the number of </w:t>
            </w: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children engaged in the playground.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73901" w:rsidRDefault="00873901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F2813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%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increase in the number of pupils physically active and engaged on a daily basis in the playground.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D66F7">
              <w:rPr>
                <w:rFonts w:ascii="Century Gothic" w:hAnsi="Century Gothic"/>
                <w:sz w:val="24"/>
                <w:szCs w:val="24"/>
              </w:rPr>
              <w:t xml:space="preserve"> Behaviour has improved at lunchtimes with a 20% reduction in incidents.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Active Timetable successfully introduced which children have supported in developing.</w:t>
            </w:r>
            <w:r w:rsidR="00DD66F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DD66F7" w:rsidRPr="002B05B3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Children ready to learn at the start of the day and after lunch as a result of the active 30 minutes.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Active maths bein</w:t>
            </w:r>
            <w:r w:rsidR="00C42950">
              <w:rPr>
                <w:rFonts w:ascii="Century Gothic" w:hAnsi="Century Gothic"/>
                <w:sz w:val="24"/>
                <w:szCs w:val="24"/>
              </w:rPr>
              <w:t>g delivered across the school in all classes</w:t>
            </w:r>
            <w:r w:rsidR="002F2813">
              <w:rPr>
                <w:rFonts w:ascii="Century Gothic" w:hAnsi="Century Gothic"/>
                <w:sz w:val="24"/>
                <w:szCs w:val="24"/>
              </w:rPr>
              <w:t>. 100% increase in active classrooms across the school. Leading to an improvement in maths engagement.</w:t>
            </w:r>
          </w:p>
          <w:p w:rsidR="00DD66F7" w:rsidRPr="002B05B3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Pupils are more confident in maths and are more resilient when trying doing areas of maths.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 range of activities in place to increase the number of children active for 30 </w:t>
            </w:r>
            <w:proofErr w:type="spellStart"/>
            <w:r w:rsidRPr="002B05B3">
              <w:rPr>
                <w:rFonts w:ascii="Century Gothic" w:hAnsi="Century Gothic"/>
                <w:sz w:val="24"/>
                <w:szCs w:val="24"/>
              </w:rPr>
              <w:t>mins</w:t>
            </w:r>
            <w:proofErr w:type="spellEnd"/>
            <w:r w:rsidRPr="002B05B3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F2813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C42950">
              <w:rPr>
                <w:rFonts w:ascii="Century Gothic" w:hAnsi="Century Gothic"/>
                <w:sz w:val="24"/>
                <w:szCs w:val="24"/>
              </w:rPr>
              <w:t>% i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ncrease in the number of children taking part in innovative physical challenges on a daily basis.</w:t>
            </w:r>
          </w:p>
          <w:p w:rsidR="002F2813" w:rsidRPr="002B05B3" w:rsidRDefault="002B05B3" w:rsidP="00166F3D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Children understand the principles of sugar smart and how to lead a healthy active lifestyle.</w:t>
            </w:r>
            <w:r w:rsidR="00166F3D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Greater awareness amongst pupils/parents about the benefits of physical activity and healthy active life styles</w:t>
            </w:r>
            <w:r w:rsidR="002F2813">
              <w:rPr>
                <w:rFonts w:ascii="Century Gothic" w:hAnsi="Century Gothic"/>
                <w:sz w:val="24"/>
                <w:szCs w:val="24"/>
              </w:rPr>
              <w:t>(Parent and pupil conferencing)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0B4DF5" w:rsidRPr="000B4DF5" w:rsidRDefault="000B4DF5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B4DF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Update other areas of the playground and investigate a trim trail for the field.</w:t>
            </w:r>
          </w:p>
          <w:p w:rsidR="00735D37" w:rsidRPr="000B4DF5" w:rsidRDefault="000B4DF5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B4DF5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train playground leaders</w:t>
            </w:r>
            <w:r w:rsidR="000B4DF5">
              <w:rPr>
                <w:rFonts w:ascii="Century Gothic" w:hAnsi="Century Gothic"/>
                <w:sz w:val="24"/>
                <w:szCs w:val="24"/>
              </w:rPr>
              <w:t xml:space="preserve"> annually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to ensure delivery can continue.</w:t>
            </w:r>
          </w:p>
          <w:p w:rsidR="002F2813" w:rsidRP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Maintain a log of equipment and put a replacement budget in place.</w:t>
            </w:r>
          </w:p>
          <w:p w:rsidR="002B05B3" w:rsidRP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Ensure there is a 3 year plan in place to continually update, maintain and improve the playground area.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Encourage the children to develop their own sugar smart blasts.</w:t>
            </w:r>
          </w:p>
          <w:p w:rsidR="002B05B3" w:rsidRP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Ensure there is a rotation of activities to continue to engage the children.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364B0" w:rsidRP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Review active maths programm</w:t>
            </w:r>
            <w:r w:rsidR="002F2813">
              <w:rPr>
                <w:rFonts w:ascii="Century Gothic" w:hAnsi="Century Gothic"/>
                <w:sz w:val="24"/>
                <w:szCs w:val="24"/>
              </w:rPr>
              <w:t>e and extend to active literacy and cascade training to all staff.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2813" w:rsidRP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Investigate a health and well-being week for the children.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Investigate gaining healthy schools accreditation.</w:t>
            </w:r>
          </w:p>
          <w:p w:rsidR="002F2813" w:rsidRDefault="002F281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2813" w:rsidRDefault="002F281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F2813"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:rsidR="002F2813" w:rsidRPr="002F2813" w:rsidRDefault="002F281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F2813">
              <w:rPr>
                <w:rFonts w:ascii="Century Gothic" w:hAnsi="Century Gothic"/>
                <w:sz w:val="24"/>
                <w:szCs w:val="24"/>
              </w:rPr>
              <w:t xml:space="preserve">Ensure all staff are trained in delivering at least one health and well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2813">
              <w:rPr>
                <w:rFonts w:ascii="Century Gothic" w:hAnsi="Century Gothic"/>
                <w:sz w:val="24"/>
                <w:szCs w:val="24"/>
              </w:rPr>
              <w:t>being workshop. Cascade training to TA’s</w:t>
            </w:r>
          </w:p>
        </w:tc>
      </w:tr>
      <w:tr w:rsidR="002B05B3" w:rsidRPr="00D86C78" w:rsidTr="002E1833">
        <w:trPr>
          <w:trHeight w:val="56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2 : 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The profile of PE and sport being raised across the school as a tool for whole school improvement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trHeight w:val="349"/>
          <w:jc w:val="center"/>
        </w:trPr>
        <w:tc>
          <w:tcPr>
            <w:tcW w:w="6259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Continue to develop playground leaders with the support of the sports apprentice.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4364B0" w:rsidRDefault="004364B0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F0721" w:rsidRDefault="00016DBE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develop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sports 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leaders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>for the school to raise the profile of PE and school sport.</w:t>
            </w:r>
            <w:r w:rsidR="00166F3D">
              <w:rPr>
                <w:rFonts w:ascii="Century Gothic" w:eastAsia="Calibri" w:hAnsi="Century Gothic" w:cs="Calibri"/>
                <w:sz w:val="24"/>
                <w:lang w:val="en-US"/>
              </w:rPr>
              <w:t xml:space="preserve"> 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consider introducing a one day Arena sugar smart leader course to raise the profile of sugar smart and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physical activity across the school.</w:t>
            </w:r>
            <w:r w:rsidR="00166F3D">
              <w:rPr>
                <w:rFonts w:ascii="Century Gothic" w:eastAsia="Calibri" w:hAnsi="Century Gothic" w:cs="Calibri"/>
                <w:sz w:val="24"/>
                <w:lang w:val="en-US"/>
              </w:rPr>
              <w:t xml:space="preserve">  </w:t>
            </w:r>
          </w:p>
          <w:p w:rsidR="005F0721" w:rsidRDefault="005F0721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Investigate active </w:t>
            </w:r>
            <w:proofErr w:type="spellStart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maths</w:t>
            </w:r>
            <w:proofErr w:type="spellEnd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/active literacy through the use of </w:t>
            </w:r>
            <w:r w:rsidR="00166F3D" w:rsidRPr="002B05B3">
              <w:rPr>
                <w:rFonts w:ascii="Century Gothic" w:eastAsia="Calibri" w:hAnsi="Century Gothic" w:cs="Calibri"/>
                <w:sz w:val="24"/>
                <w:lang w:val="en-US"/>
              </w:rPr>
              <w:t>raccoon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circles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Default="00166F3D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Development of notice boards in school to raise the profile of PE and School Sport for all visitors and pupils – achievement notice boards.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Celebration assemblies at both schools to recognise and reward achievement in PE and school sport.</w:t>
            </w:r>
          </w:p>
        </w:tc>
        <w:tc>
          <w:tcPr>
            <w:tcW w:w="1974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Co-</w:t>
            </w:r>
            <w:proofErr w:type="spellStart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ordinator</w:t>
            </w:r>
            <w:proofErr w:type="spellEnd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time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4364B0" w:rsidRDefault="004364B0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Working with sports apprentice.  £300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Arena 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membership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6F3D" w:rsidRDefault="00166F3D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016DBE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 Subject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time.</w:t>
            </w:r>
          </w:p>
          <w:p w:rsid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16DBE" w:rsidRPr="002B05B3" w:rsidRDefault="00016DBE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B05B3">
              <w:rPr>
                <w:rFonts w:ascii="Century Gothic" w:hAnsi="Century Gothic"/>
                <w:b/>
                <w:sz w:val="24"/>
                <w:szCs w:val="24"/>
              </w:rPr>
              <w:t xml:space="preserve">Resources 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2B05B3" w:rsidRDefault="00C42950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15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Playground leaders delivering activities on a daily basis raising the profile of physical activity.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C42950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8 pupils a member of the Sports council. P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upils being given the opportunity to make key decisions about 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lastRenderedPageBreak/>
              <w:t>PE and School Sport within the school which has raised the profile of PE and school sport.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2 days delivered with every child having produced a piece of writing and teachers inspired with a tool kit of ideas to continue to deliver literacy activities outdoors. 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Whole school improvement link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engaging reluctant writers.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 50% of reluctant writers now engaged in writing as a result of the 2 days.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Celebration assemblies delivered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once a half term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with a focus on achievement in PE and school sport which has raised profile with parents and pupils.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A2BDF" w:rsidRDefault="00CA2BDF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new parents running after school clubs as volunteers</w:t>
            </w:r>
          </w:p>
          <w:p w:rsidR="00CA2BDF" w:rsidRPr="002B05B3" w:rsidRDefault="00CA2BDF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24" w:space="0" w:color="auto"/>
              <w:bottom w:val="single" w:sz="24" w:space="0" w:color="auto"/>
            </w:tcBorders>
          </w:tcPr>
          <w:p w:rsidR="00CA2BDF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provide sports leadership opportunities for children.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CA2BDF" w:rsidRPr="002B05B3" w:rsidRDefault="00CA2BDF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Continue to develop and extend 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opportunities for the sports council </w:t>
            </w:r>
            <w:r w:rsidR="00CA2BDF">
              <w:rPr>
                <w:rFonts w:ascii="Century Gothic" w:hAnsi="Century Gothic"/>
                <w:sz w:val="24"/>
                <w:szCs w:val="24"/>
              </w:rPr>
              <w:lastRenderedPageBreak/>
              <w:t>to train younger members of the school to ensure the profile of PE remains high.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up skill staff in the delivery of active classroo</w:t>
            </w:r>
            <w:r w:rsidR="00CA2BDF">
              <w:rPr>
                <w:rFonts w:ascii="Century Gothic" w:hAnsi="Century Gothic"/>
                <w:sz w:val="24"/>
                <w:szCs w:val="24"/>
              </w:rPr>
              <w:t>ms and learning in the outdoors and cascade training to pupil literacy leaders.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find interesting and innovative ways of celebrating sports achievement.</w:t>
            </w:r>
          </w:p>
          <w:p w:rsidR="002B05B3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CA2BDF" w:rsidRPr="002B05B3" w:rsidRDefault="00CA2BDF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Recruit volunteers to support in the delivery of after school clubs as a result of a recruitment campaign in assemblies and other sports events.</w:t>
            </w:r>
          </w:p>
        </w:tc>
      </w:tr>
      <w:tr w:rsidR="002B05B3" w:rsidRPr="00D86C78" w:rsidTr="002E1833">
        <w:trPr>
          <w:trHeight w:val="598"/>
          <w:jc w:val="center"/>
        </w:trPr>
        <w:tc>
          <w:tcPr>
            <w:tcW w:w="16160" w:type="dxa"/>
            <w:gridSpan w:val="4"/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3 : </w:t>
            </w:r>
            <w:r w:rsidRPr="00D86C78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confidence, knowledge and skills of all staff in teaching PE and sport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CPD training for staff to include </w:t>
            </w:r>
            <w:r w:rsidR="005F0721">
              <w:rPr>
                <w:rFonts w:ascii="Century Gothic" w:eastAsia="Calibri" w:hAnsi="Century Gothic" w:cs="Calibri"/>
                <w:sz w:val="24"/>
                <w:lang w:val="en-US"/>
              </w:rPr>
              <w:t xml:space="preserve">OAA and invasion games. 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D682F" w:rsidRDefault="001D682F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5F072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One member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of staff to attend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>ed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W</w:t>
            </w:r>
            <w:r w:rsidR="000155A7">
              <w:rPr>
                <w:rFonts w:ascii="Century Gothic" w:eastAsia="Calibri" w:hAnsi="Century Gothic" w:cs="Calibri"/>
                <w:sz w:val="24"/>
                <w:lang w:val="en-US"/>
              </w:rPr>
              <w:t>ild T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>ribe outdoor learning training to develop skills in the delivery of outdoor learning.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Attendance at the </w:t>
            </w:r>
            <w:proofErr w:type="spellStart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sugarsmart</w:t>
            </w:r>
            <w:proofErr w:type="spellEnd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conference to upskill staff on requirements of the sugar tax levy.</w:t>
            </w:r>
          </w:p>
          <w:p w:rsid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73901" w:rsidRDefault="00873901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4F4077" w:rsidRDefault="000155A7" w:rsidP="005F0721">
            <w:pPr>
              <w:rPr>
                <w:rFonts w:ascii="Century Gothic" w:hAnsi="Century Gothic"/>
                <w:sz w:val="24"/>
                <w:szCs w:val="24"/>
              </w:rPr>
            </w:pPr>
            <w:r w:rsidRPr="004F4077">
              <w:rPr>
                <w:rFonts w:ascii="Century Gothic" w:hAnsi="Century Gothic"/>
                <w:sz w:val="24"/>
                <w:szCs w:val="24"/>
              </w:rPr>
              <w:t>Subject L</w:t>
            </w:r>
            <w:r w:rsidR="002B05B3" w:rsidRPr="004F4077">
              <w:rPr>
                <w:rFonts w:ascii="Century Gothic" w:hAnsi="Century Gothic"/>
                <w:sz w:val="24"/>
                <w:szCs w:val="24"/>
              </w:rPr>
              <w:t>eader in PE to monitor PE curriculum map linked to festivals and competitions</w:t>
            </w:r>
            <w:r w:rsidR="004364B0" w:rsidRPr="004F407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Arena membership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£450 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D682F" w:rsidRDefault="001D682F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W</w:t>
            </w:r>
            <w:r w:rsidR="000155A7">
              <w:rPr>
                <w:rFonts w:ascii="Century Gothic" w:eastAsia="Calibri" w:hAnsi="Century Gothic" w:cs="Calibri"/>
                <w:sz w:val="24"/>
                <w:lang w:val="en-US"/>
              </w:rPr>
              <w:t>ild T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ribe course x 2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£470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Supply cover x 2 days - £350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Arena membership</w:t>
            </w: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873901" w:rsidRDefault="00873901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£2000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73901" w:rsidRDefault="00873901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73901" w:rsidRDefault="00873901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73901" w:rsidRDefault="00873901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4F4077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4F4077">
              <w:rPr>
                <w:rFonts w:ascii="Century Gothic" w:hAnsi="Century Gothic"/>
                <w:sz w:val="24"/>
                <w:szCs w:val="24"/>
              </w:rPr>
              <w:t xml:space="preserve"> x £250 = £750</w:t>
            </w: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4077" w:rsidRPr="002B05B3" w:rsidRDefault="004F407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C42950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Inclusive PE curriculum which up skills teachers and pupils. </w:t>
            </w:r>
            <w:r w:rsidR="001D682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42950">
              <w:rPr>
                <w:rFonts w:ascii="Century Gothic" w:hAnsi="Century Gothic"/>
                <w:sz w:val="24"/>
                <w:szCs w:val="24"/>
              </w:rPr>
              <w:t>5 staff trained in gym and dance.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Coaches used as role model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s to target pupil groups. More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children encourag</w:t>
            </w:r>
            <w:r w:rsidR="00CA2BDF">
              <w:rPr>
                <w:rFonts w:ascii="Century Gothic" w:hAnsi="Century Gothic"/>
                <w:sz w:val="24"/>
                <w:szCs w:val="24"/>
              </w:rPr>
              <w:t>ed to attend after school clubs. 20% increase in the number of girls attending after school clubs across the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Fluency, consistency and broad curriculum coverage achieved through the delivery of a </w:t>
            </w:r>
            <w:r w:rsidR="004364B0">
              <w:rPr>
                <w:rFonts w:ascii="Century Gothic" w:hAnsi="Century Gothic"/>
                <w:sz w:val="24"/>
                <w:szCs w:val="24"/>
              </w:rPr>
              <w:t>c</w:t>
            </w:r>
            <w:r w:rsidRPr="002B05B3">
              <w:rPr>
                <w:rFonts w:ascii="Century Gothic" w:hAnsi="Century Gothic"/>
                <w:sz w:val="24"/>
                <w:szCs w:val="24"/>
              </w:rPr>
              <w:t>omprehensive high quality PE curriculum.</w:t>
            </w:r>
          </w:p>
          <w:p w:rsidR="004364B0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Attainment in PE has improved with more children achieving silver in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across the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Children understand where they are in their learning and what their next steps are.</w:t>
            </w:r>
            <w:r w:rsidR="00FD2D6C">
              <w:rPr>
                <w:rFonts w:ascii="Century Gothic" w:hAnsi="Century Gothic"/>
                <w:sz w:val="24"/>
                <w:szCs w:val="24"/>
              </w:rPr>
              <w:t xml:space="preserve"> Pupil attainment and achievement improved in PE as a result of a whole school approach to the </w:t>
            </w:r>
            <w:r w:rsidR="00FD2D6C">
              <w:rPr>
                <w:rFonts w:ascii="Century Gothic" w:hAnsi="Century Gothic"/>
                <w:sz w:val="24"/>
                <w:szCs w:val="24"/>
              </w:rPr>
              <w:lastRenderedPageBreak/>
              <w:t>consistent use of schemes of work across the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Parents are aware of the progress their children ar</w:t>
            </w:r>
            <w:r w:rsidR="00EE035B">
              <w:rPr>
                <w:rFonts w:ascii="Century Gothic" w:hAnsi="Century Gothic"/>
                <w:sz w:val="24"/>
                <w:szCs w:val="24"/>
              </w:rPr>
              <w:t>e making in PE and school sport as a result of a new assessment system.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CA2BDF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Build into future inset training whole school training in PE and school sport.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6A9B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Staff to deliver inset training </w:t>
            </w:r>
            <w:r w:rsidR="00CA2BDF">
              <w:rPr>
                <w:rFonts w:ascii="Century Gothic" w:hAnsi="Century Gothic"/>
                <w:sz w:val="24"/>
                <w:szCs w:val="24"/>
              </w:rPr>
              <w:t>to whole school on key elements as a result of attending the outdoor training, gym and dance To ensure outdoor learning continues at the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3901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support the development of subject leadership whole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provide existing staff with the opportunity to be upskilled in PE and school sport.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3901" w:rsidRDefault="00873901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2BDF" w:rsidRDefault="00CA2BDF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3901" w:rsidRDefault="00873901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2BDF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Opportunities created for PE knowledge to be shared whole school.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 Once a term knowledge </w:t>
            </w:r>
            <w:r w:rsidR="00CA2BDF">
              <w:rPr>
                <w:rFonts w:ascii="Century Gothic" w:hAnsi="Century Gothic"/>
                <w:sz w:val="24"/>
                <w:szCs w:val="24"/>
              </w:rPr>
              <w:lastRenderedPageBreak/>
              <w:t>sharing in PE. Subject leader to deliver one workshop per term to upskill staff on curriculum delivery.</w:t>
            </w: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Pr="002B05B3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:rsidTr="002E1833">
        <w:trPr>
          <w:trHeight w:val="57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4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Broader experience of a range of sports and activities offered to all pupils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Delivery of alternative sports day to intr</w:t>
            </w:r>
            <w:r w:rsidR="00016DBE">
              <w:rPr>
                <w:rFonts w:ascii="Century Gothic" w:eastAsia="Calibri" w:hAnsi="Century Gothic" w:cs="Calibri"/>
                <w:sz w:val="24"/>
                <w:lang w:val="en-US"/>
              </w:rPr>
              <w:t>oduce fencing, ultimate Frisbee for Yr3 and Yr4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4077" w:rsidRPr="002B05B3" w:rsidRDefault="004F407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2B05B3" w:rsidRPr="002B05B3" w:rsidRDefault="005F0721" w:rsidP="00C8527B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Beach trips for Yr5/6 to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Tregonhawke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Beach. Adventure Bay surf lesson and volleyball coach.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5F0721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Mr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Rockett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Football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club set up to engaged children w</w:t>
            </w:r>
            <w:r>
              <w:rPr>
                <w:rFonts w:ascii="Century Gothic" w:hAnsi="Century Gothic"/>
                <w:sz w:val="24"/>
                <w:szCs w:val="24"/>
              </w:rPr>
              <w:t>ho do not engage in team sports outside of school.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4F4077">
              <w:rPr>
                <w:rFonts w:ascii="Century Gothic" w:eastAsia="Calibri" w:hAnsi="Century Gothic" w:cs="Calibri"/>
                <w:b/>
                <w:sz w:val="24"/>
                <w:lang w:val="en-US"/>
              </w:rPr>
              <w:lastRenderedPageBreak/>
              <w:t xml:space="preserve">£325 </w:t>
            </w:r>
          </w:p>
          <w:p w:rsidR="002B05B3" w:rsidRPr="002B05B3" w:rsidRDefault="002B05B3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C8527B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16DBE" w:rsidRPr="002B05B3" w:rsidRDefault="00016DBE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£180 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£300</w:t>
            </w:r>
            <w:r w:rsidR="004F4077">
              <w:rPr>
                <w:rFonts w:ascii="Century Gothic" w:hAnsi="Century Gothic"/>
                <w:sz w:val="24"/>
                <w:szCs w:val="24"/>
              </w:rPr>
              <w:t xml:space="preserve"> Only 2 </w:t>
            </w:r>
            <w:proofErr w:type="spellStart"/>
            <w:r w:rsidR="004F4077">
              <w:rPr>
                <w:rFonts w:ascii="Century Gothic" w:hAnsi="Century Gothic"/>
                <w:sz w:val="24"/>
                <w:szCs w:val="24"/>
              </w:rPr>
              <w:t>clubd</w:t>
            </w:r>
            <w:proofErr w:type="spellEnd"/>
            <w:r w:rsidR="004F4077">
              <w:rPr>
                <w:rFonts w:ascii="Century Gothic" w:hAnsi="Century Gothic"/>
                <w:sz w:val="24"/>
                <w:szCs w:val="24"/>
              </w:rPr>
              <w:t xml:space="preserve"> set up due to </w:t>
            </w:r>
            <w:proofErr w:type="spellStart"/>
            <w:r w:rsidR="004F4077">
              <w:rPr>
                <w:rFonts w:ascii="Century Gothic" w:hAnsi="Century Gothic"/>
                <w:sz w:val="24"/>
                <w:szCs w:val="24"/>
              </w:rPr>
              <w:t>covid</w:t>
            </w:r>
            <w:proofErr w:type="spellEnd"/>
            <w:r w:rsidR="004F4077">
              <w:rPr>
                <w:rFonts w:ascii="Century Gothic" w:hAnsi="Century Gothic"/>
                <w:sz w:val="24"/>
                <w:szCs w:val="24"/>
              </w:rPr>
              <w:t xml:space="preserve"> 19 therefore </w:t>
            </w:r>
            <w:r w:rsidR="004F4077">
              <w:rPr>
                <w:rFonts w:ascii="Century Gothic" w:hAnsi="Century Gothic"/>
                <w:sz w:val="24"/>
                <w:szCs w:val="24"/>
              </w:rPr>
              <w:lastRenderedPageBreak/>
              <w:t xml:space="preserve">one will be carried forward in to autumn 2020 </w:t>
            </w:r>
            <w:r w:rsidR="004F4077" w:rsidRPr="004F4077">
              <w:rPr>
                <w:rFonts w:ascii="Century Gothic" w:hAnsi="Century Gothic"/>
                <w:b/>
                <w:sz w:val="24"/>
                <w:szCs w:val="24"/>
              </w:rPr>
              <w:t>(£150)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Suc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cessful day delivered and </w:t>
            </w:r>
            <w:r w:rsidR="00016DBE">
              <w:rPr>
                <w:rFonts w:ascii="Century Gothic" w:hAnsi="Century Gothic"/>
                <w:sz w:val="24"/>
                <w:szCs w:val="24"/>
              </w:rPr>
              <w:t>children has experience of alternative sports</w:t>
            </w:r>
          </w:p>
          <w:p w:rsid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16DBE" w:rsidRPr="002B05B3" w:rsidRDefault="00016DBE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Increase </w:t>
            </w:r>
            <w:r w:rsidR="00C42950">
              <w:rPr>
                <w:rFonts w:ascii="Century Gothic" w:hAnsi="Century Gothic"/>
                <w:sz w:val="24"/>
                <w:szCs w:val="24"/>
              </w:rPr>
              <w:t>10</w:t>
            </w:r>
            <w:r w:rsidRPr="002B05B3">
              <w:rPr>
                <w:rFonts w:ascii="Century Gothic" w:hAnsi="Century Gothic"/>
                <w:sz w:val="24"/>
                <w:szCs w:val="24"/>
              </w:rPr>
              <w:t>% of disengaged pupils now involved in sporting activities on a regular basis.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2B05B3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New club set up to engage children who prefer non games based sports. </w:t>
            </w:r>
            <w:r w:rsidR="00CA2BDF">
              <w:rPr>
                <w:rFonts w:ascii="Century Gothic" w:hAnsi="Century Gothic"/>
                <w:sz w:val="24"/>
                <w:szCs w:val="24"/>
              </w:rPr>
              <w:t xml:space="preserve"> 10% 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Increase in the number of </w:t>
            </w: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girls attending an after school club</w:t>
            </w:r>
          </w:p>
          <w:p w:rsidR="00DD66F7" w:rsidRDefault="00DD66F7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DD66F7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Children who have taken part in clubs have increased confidence and self- esteem and are more willing to try a new activity.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CA2BDF" w:rsidRPr="00CA2BDF" w:rsidRDefault="00CA2BDF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2BD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broaden the range of alternative sports delivered.</w:t>
            </w:r>
            <w:r w:rsidR="00016DBE">
              <w:rPr>
                <w:rFonts w:ascii="Century Gothic" w:hAnsi="Century Gothic"/>
                <w:sz w:val="24"/>
                <w:szCs w:val="24"/>
              </w:rPr>
              <w:t xml:space="preserve"> Additional options for extra-curricular clubs.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Wider range of opportunities will continue to be offered to engage disengaged pupils.</w:t>
            </w: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2B05B3" w:rsidRDefault="002B05B3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Needs of target groups continue to be addressed.</w:t>
            </w:r>
          </w:p>
          <w:p w:rsidR="002B05B3" w:rsidRPr="00EE035B" w:rsidRDefault="00EE035B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35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Sustainability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Equipment purchased and staff trained in the delivery of Frisbee so it can continue.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Pr="002B05B3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:rsidTr="002E1833">
        <w:trPr>
          <w:trHeight w:val="581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5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participation in competitive sport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735D37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735D37" w:rsidRP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compete in the </w:t>
            </w:r>
            <w:proofErr w:type="spellStart"/>
            <w:r w:rsidR="00016DBE">
              <w:rPr>
                <w:rFonts w:ascii="Century Gothic" w:eastAsia="Calibri" w:hAnsi="Century Gothic" w:cs="Calibri"/>
                <w:sz w:val="24"/>
                <w:lang w:val="en-US"/>
              </w:rPr>
              <w:t>Torpoint</w:t>
            </w:r>
            <w:proofErr w:type="spellEnd"/>
            <w:r w:rsidR="005F0721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cluster competitions</w:t>
            </w:r>
          </w:p>
          <w:p w:rsidR="00735D37" w:rsidRP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BB33D1" w:rsidRDefault="00BB33D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BB33D1" w:rsidRPr="00735D37" w:rsidRDefault="00BB33D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Introduce Arena monthly challenge.</w:t>
            </w:r>
          </w:p>
          <w:p w:rsid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5F0721" w:rsidRPr="00735D37" w:rsidRDefault="005F0721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735D37" w:rsidRDefault="00735D37" w:rsidP="00C8527B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Intra competitions</w:t>
            </w:r>
          </w:p>
          <w:p w:rsidR="00735D37" w:rsidRPr="00735D37" w:rsidRDefault="00735D3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735D37" w:rsidRPr="00735D37" w:rsidRDefault="00016DBE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  <w:p w:rsidR="00735D37" w:rsidRP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P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Default="004364B0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Pr="00735D37" w:rsidRDefault="00735D3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 xml:space="preserve">£500 </w:t>
            </w:r>
          </w:p>
          <w:p w:rsidR="00735D37" w:rsidRPr="00735D37" w:rsidRDefault="00735D3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Working in partnership to increase participation and success in competition.</w:t>
            </w:r>
          </w:p>
          <w:p w:rsidR="00016DBE" w:rsidRPr="00016DBE" w:rsidRDefault="00016DBE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16DBE">
              <w:rPr>
                <w:rFonts w:ascii="Century Gothic" w:hAnsi="Century Gothic"/>
                <w:b/>
                <w:sz w:val="24"/>
                <w:szCs w:val="24"/>
              </w:rPr>
              <w:t>Event cancelled</w:t>
            </w:r>
          </w:p>
          <w:p w:rsidR="00EE035B" w:rsidRPr="00735D37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Pr="00735D37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20%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 xml:space="preserve"> increase in the numbers of pupils participating in competitive opportunities within school.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10%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 xml:space="preserve"> increase in the numbers of pupils participating in competitive 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lastRenderedPageBreak/>
              <w:t>opportunities against other schools.</w:t>
            </w: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Pr="00735D3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Children are more confident at taking part in competitions and leadership skills have improved as a result of children competing against other schools.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EE035B" w:rsidRPr="00EE035B" w:rsidRDefault="00EE035B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35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:rsidR="00735D37" w:rsidRP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Year on year increase of the number of children taking part in competition.</w:t>
            </w:r>
          </w:p>
          <w:p w:rsidR="00735D37" w:rsidRP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5D37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10% 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increase in the number of children taking part in level 2 and 3 competitions.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E035B" w:rsidRPr="00EE035B" w:rsidRDefault="00EE035B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35B">
              <w:rPr>
                <w:rFonts w:ascii="Century Gothic" w:hAnsi="Century Gothic"/>
                <w:b/>
                <w:sz w:val="24"/>
                <w:szCs w:val="24"/>
              </w:rPr>
              <w:t>Sustainability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Volunteers recruited to support the delivery and organisation of sports events and competitions.</w:t>
            </w:r>
          </w:p>
          <w:p w:rsidR="00EE035B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MAT competitions set up with staff upskilled to deliver them.</w:t>
            </w: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Default="00DD66F7" w:rsidP="00C8527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D66F7" w:rsidRPr="00735D37" w:rsidRDefault="00DD66F7" w:rsidP="00C8527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35D37" w:rsidRPr="00D86C78" w:rsidTr="00735D37">
        <w:trPr>
          <w:jc w:val="center"/>
        </w:trPr>
        <w:tc>
          <w:tcPr>
            <w:tcW w:w="6259" w:type="dxa"/>
          </w:tcPr>
          <w:p w:rsidR="00735D37" w:rsidRPr="00735D37" w:rsidRDefault="00735D37" w:rsidP="005F072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Swimming </w:t>
            </w:r>
            <w:r w:rsidR="005F0721">
              <w:rPr>
                <w:rFonts w:ascii="Century Gothic" w:eastAsia="Calibri" w:hAnsi="Century Gothic" w:cs="Calibri"/>
                <w:sz w:val="24"/>
                <w:lang w:val="en-US"/>
              </w:rPr>
              <w:t>galas?</w:t>
            </w: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</w:tc>
        <w:tc>
          <w:tcPr>
            <w:tcW w:w="1974" w:type="dxa"/>
          </w:tcPr>
          <w:p w:rsidR="00735D37" w:rsidRPr="00735D37" w:rsidRDefault="00735D37" w:rsidP="00C8527B">
            <w:pPr>
              <w:rPr>
                <w:rFonts w:ascii="Century Gothic" w:hAnsi="Century Gothic"/>
                <w:sz w:val="24"/>
                <w:szCs w:val="24"/>
              </w:rPr>
            </w:pPr>
            <w:r w:rsidRPr="004F4077">
              <w:rPr>
                <w:rFonts w:ascii="Century Gothic" w:hAnsi="Century Gothic"/>
                <w:b/>
                <w:sz w:val="24"/>
                <w:szCs w:val="24"/>
              </w:rPr>
              <w:t>£2000</w:t>
            </w:r>
            <w:r w:rsidR="004F4077">
              <w:rPr>
                <w:rFonts w:ascii="Century Gothic" w:hAnsi="Century Gothic"/>
                <w:sz w:val="24"/>
                <w:szCs w:val="24"/>
              </w:rPr>
              <w:t xml:space="preserve">  ( this did not take place due to </w:t>
            </w:r>
            <w:proofErr w:type="spellStart"/>
            <w:r w:rsidR="004F4077">
              <w:rPr>
                <w:rFonts w:ascii="Century Gothic" w:hAnsi="Century Gothic"/>
                <w:sz w:val="24"/>
                <w:szCs w:val="24"/>
              </w:rPr>
              <w:t>Covid</w:t>
            </w:r>
            <w:proofErr w:type="spellEnd"/>
            <w:r w:rsidR="004F4077">
              <w:rPr>
                <w:rFonts w:ascii="Century Gothic" w:hAnsi="Century Gothic"/>
                <w:sz w:val="24"/>
                <w:szCs w:val="24"/>
              </w:rPr>
              <w:t xml:space="preserve"> 19 therefore top up swimming will take place in spring and summer for year 5 and 6</w:t>
            </w:r>
          </w:p>
        </w:tc>
        <w:tc>
          <w:tcPr>
            <w:tcW w:w="3497" w:type="dxa"/>
          </w:tcPr>
          <w:p w:rsidR="00735D37" w:rsidRPr="00735D37" w:rsidRDefault="00EE035B" w:rsidP="00C852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20% 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increase in the number of children who can swim 25 metres.</w:t>
            </w:r>
          </w:p>
        </w:tc>
        <w:tc>
          <w:tcPr>
            <w:tcW w:w="4430" w:type="dxa"/>
          </w:tcPr>
          <w:p w:rsidR="00735D37" w:rsidRPr="00735D37" w:rsidRDefault="00735D37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Introduce the ‘learn to swim’ programme earlier in the school to ensure more children can swim 25 metres by Year 6.</w:t>
            </w:r>
          </w:p>
        </w:tc>
      </w:tr>
    </w:tbl>
    <w:tbl>
      <w:tblPr>
        <w:tblW w:w="16160" w:type="dxa"/>
        <w:tblInd w:w="-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4394"/>
      </w:tblGrid>
      <w:tr w:rsidR="00C42950" w:rsidTr="004969D3">
        <w:trPr>
          <w:trHeight w:val="400"/>
        </w:trPr>
        <w:tc>
          <w:tcPr>
            <w:tcW w:w="11766" w:type="dxa"/>
            <w:shd w:val="clear" w:color="auto" w:fill="215868" w:themeFill="accent5" w:themeFillShade="80"/>
            <w:vAlign w:val="center"/>
          </w:tcPr>
          <w:p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4394" w:type="dxa"/>
            <w:shd w:val="clear" w:color="auto" w:fill="215868" w:themeFill="accent5" w:themeFillShade="80"/>
            <w:vAlign w:val="center"/>
          </w:tcPr>
          <w:p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Please complete all of the below:</w:t>
            </w:r>
          </w:p>
        </w:tc>
      </w:tr>
      <w:tr w:rsidR="00C42950" w:rsidTr="004969D3">
        <w:trPr>
          <w:trHeight w:val="110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swim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confidently and proficiently over a distance of at least 25 </w:t>
            </w:r>
            <w:proofErr w:type="spellStart"/>
            <w:r w:rsidR="004969D3">
              <w:rPr>
                <w:rFonts w:ascii="Century Gothic" w:hAnsi="Century Gothic"/>
                <w:color w:val="231F20"/>
                <w:sz w:val="24"/>
                <w:szCs w:val="24"/>
              </w:rPr>
              <w:t>metre</w:t>
            </w:r>
            <w:r w:rsidR="004969D3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</w:t>
            </w:r>
            <w:proofErr w:type="spellEnd"/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C42950" w:rsidRPr="004969D3" w:rsidRDefault="005F0721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6"/>
              </w:rPr>
              <w:t>NO DATA- COVID DID NOT ALLOW FOR SUFFICIET  SWIMMING TO TAKE PLACE TO ASSESS THIS</w:t>
            </w:r>
          </w:p>
        </w:tc>
      </w:tr>
      <w:tr w:rsidR="00C42950" w:rsidTr="004969D3">
        <w:trPr>
          <w:trHeight w:val="128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lastRenderedPageBreak/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use a range of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effectively [for example, front crawl,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 breaststroke]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C42950" w:rsidRPr="004969D3" w:rsidRDefault="005F0721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6"/>
              </w:rPr>
              <w:t>NO DATA- COVID DID NOT ALLOW FOR SUFFICIET  SWIMMING TO TAKE PLACE TO ASSESS THIS</w:t>
            </w:r>
          </w:p>
        </w:tc>
      </w:tr>
      <w:tr w:rsidR="00C42950" w:rsidTr="004969D3">
        <w:trPr>
          <w:trHeight w:val="120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517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perform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safe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self-rescue in different water-based situations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:rsidR="00C42950" w:rsidRPr="004969D3" w:rsidRDefault="005F0721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6"/>
              </w:rPr>
              <w:t>NO DATA- COVID DID NOT ALLOW FOR SUFFICIET  SWIMMING TO TAKE PLACE TO ASSESS THIS</w:t>
            </w:r>
          </w:p>
        </w:tc>
      </w:tr>
      <w:tr w:rsidR="00C42950" w:rsidTr="004969D3">
        <w:trPr>
          <w:trHeight w:val="1220"/>
        </w:trPr>
        <w:tc>
          <w:tcPr>
            <w:tcW w:w="11766" w:type="dxa"/>
            <w:vAlign w:val="center"/>
          </w:tcPr>
          <w:p w:rsidR="00C42950" w:rsidRPr="004969D3" w:rsidRDefault="00C42950" w:rsidP="004969D3">
            <w:pPr>
              <w:pStyle w:val="TableParagraph"/>
              <w:spacing w:before="23" w:line="235" w:lineRule="auto"/>
              <w:ind w:left="70" w:right="273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Schools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can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choose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use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the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Primary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Sport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Premium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provide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additional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provision</w:t>
            </w:r>
            <w:r w:rsidRPr="004969D3">
              <w:rPr>
                <w:rFonts w:ascii="Century Gothic" w:hAnsi="Century Gothic"/>
                <w:color w:val="231F20"/>
                <w:spacing w:val="-4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for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swimming but this must be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activity </w:t>
            </w:r>
            <w:r w:rsidRPr="004969D3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 xml:space="preserve">over and above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the national curriculum requirements. </w:t>
            </w:r>
            <w:r w:rsidR="004969D3"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you used it in this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4394" w:type="dxa"/>
            <w:vAlign w:val="center"/>
          </w:tcPr>
          <w:p w:rsidR="00C42950" w:rsidRPr="004969D3" w:rsidRDefault="005F0721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6"/>
              </w:rPr>
              <w:t>NO DATA- COVID DID NOT ALLOW FOR SUFFICIET  SWIMMING TO TAKE PLACE TO ASSESS THIS</w:t>
            </w: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735D37" w:rsidRPr="00D86C78" w:rsidTr="00735D37">
        <w:trPr>
          <w:trHeight w:val="868"/>
          <w:jc w:val="center"/>
        </w:trPr>
        <w:tc>
          <w:tcPr>
            <w:tcW w:w="538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735D37" w:rsidP="00735D37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Total funding - £16,000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735D37" w:rsidP="004F4077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Total </w:t>
            </w:r>
            <w:r w:rsidR="004F407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 to date – £16,000</w:t>
            </w: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735D37" w:rsidP="00735D37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</w:p>
        </w:tc>
      </w:tr>
    </w:tbl>
    <w:p w:rsidR="009226B5" w:rsidRPr="00A31A3F" w:rsidRDefault="009226B5">
      <w:pPr>
        <w:rPr>
          <w:rFonts w:ascii="Century Gothic" w:hAnsi="Century Gothic"/>
          <w:b/>
          <w:sz w:val="10"/>
          <w:szCs w:val="56"/>
        </w:rPr>
      </w:pPr>
    </w:p>
    <w:sectPr w:rsidR="009226B5" w:rsidRPr="00A31A3F" w:rsidSect="00A31A3F">
      <w:headerReference w:type="default" r:id="rId9"/>
      <w:pgSz w:w="16838" w:h="11906" w:orient="landscape"/>
      <w:pgMar w:top="1440" w:right="678" w:bottom="284" w:left="567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7B" w:rsidRDefault="00C8527B" w:rsidP="00D86C78">
      <w:pPr>
        <w:spacing w:after="0" w:line="240" w:lineRule="auto"/>
      </w:pPr>
      <w:r>
        <w:separator/>
      </w:r>
    </w:p>
  </w:endnote>
  <w:endnote w:type="continuationSeparator" w:id="0">
    <w:p w:rsidR="00C8527B" w:rsidRDefault="00C8527B" w:rsidP="00D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7B" w:rsidRDefault="00C8527B" w:rsidP="00D86C78">
      <w:pPr>
        <w:spacing w:after="0" w:line="240" w:lineRule="auto"/>
      </w:pPr>
      <w:r>
        <w:separator/>
      </w:r>
    </w:p>
  </w:footnote>
  <w:footnote w:type="continuationSeparator" w:id="0">
    <w:p w:rsidR="00C8527B" w:rsidRDefault="00C8527B" w:rsidP="00D8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3"/>
    </w:tblGrid>
    <w:tr w:rsidR="00C8527B" w:rsidTr="002E1833">
      <w:trPr>
        <w:trHeight w:val="1561"/>
      </w:trPr>
      <w:tc>
        <w:tcPr>
          <w:tcW w:w="15809" w:type="dxa"/>
          <w:vAlign w:val="center"/>
        </w:tcPr>
        <w:p w:rsidR="00C8527B" w:rsidRDefault="00F15DD0" w:rsidP="00D86C7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AAECBE7" wp14:editId="59467F53">
                <wp:extent cx="2438400" cy="76300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533" cy="776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527B" w:rsidRDefault="00C8527B" w:rsidP="00A3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B2F"/>
    <w:multiLevelType w:val="multilevel"/>
    <w:tmpl w:val="0A7465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72259"/>
    <w:multiLevelType w:val="hybridMultilevel"/>
    <w:tmpl w:val="4FE8C6DC"/>
    <w:lvl w:ilvl="0" w:tplc="82EAE6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042A"/>
    <w:multiLevelType w:val="hybridMultilevel"/>
    <w:tmpl w:val="800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03E"/>
    <w:multiLevelType w:val="hybridMultilevel"/>
    <w:tmpl w:val="035A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708D7"/>
    <w:multiLevelType w:val="hybridMultilevel"/>
    <w:tmpl w:val="9C3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5"/>
    <w:rsid w:val="000155A7"/>
    <w:rsid w:val="00016DBE"/>
    <w:rsid w:val="00087CBA"/>
    <w:rsid w:val="000B4DF5"/>
    <w:rsid w:val="00103477"/>
    <w:rsid w:val="0015477D"/>
    <w:rsid w:val="00166F3D"/>
    <w:rsid w:val="001D682F"/>
    <w:rsid w:val="00233092"/>
    <w:rsid w:val="002837E8"/>
    <w:rsid w:val="002B05B3"/>
    <w:rsid w:val="002E1833"/>
    <w:rsid w:val="002E2FE1"/>
    <w:rsid w:val="002F2813"/>
    <w:rsid w:val="003623B7"/>
    <w:rsid w:val="00366C6D"/>
    <w:rsid w:val="00381AEA"/>
    <w:rsid w:val="004364B0"/>
    <w:rsid w:val="004779FC"/>
    <w:rsid w:val="004969D3"/>
    <w:rsid w:val="004F4077"/>
    <w:rsid w:val="00546A9B"/>
    <w:rsid w:val="00563C54"/>
    <w:rsid w:val="00566E55"/>
    <w:rsid w:val="005F0721"/>
    <w:rsid w:val="00674193"/>
    <w:rsid w:val="007349A5"/>
    <w:rsid w:val="00735D37"/>
    <w:rsid w:val="00820963"/>
    <w:rsid w:val="00873901"/>
    <w:rsid w:val="00885161"/>
    <w:rsid w:val="008D4492"/>
    <w:rsid w:val="0090136A"/>
    <w:rsid w:val="009226B5"/>
    <w:rsid w:val="009513E0"/>
    <w:rsid w:val="009523D6"/>
    <w:rsid w:val="009B36A8"/>
    <w:rsid w:val="009E290B"/>
    <w:rsid w:val="00A024E1"/>
    <w:rsid w:val="00A31A3F"/>
    <w:rsid w:val="00A4636E"/>
    <w:rsid w:val="00A94EA6"/>
    <w:rsid w:val="00B63556"/>
    <w:rsid w:val="00BB33D1"/>
    <w:rsid w:val="00BC30E2"/>
    <w:rsid w:val="00BC3491"/>
    <w:rsid w:val="00C42950"/>
    <w:rsid w:val="00C8527B"/>
    <w:rsid w:val="00CA2BDF"/>
    <w:rsid w:val="00CC23B8"/>
    <w:rsid w:val="00D86C78"/>
    <w:rsid w:val="00DD66F7"/>
    <w:rsid w:val="00E1123B"/>
    <w:rsid w:val="00E457AA"/>
    <w:rsid w:val="00ED0A48"/>
    <w:rsid w:val="00EE035B"/>
    <w:rsid w:val="00F15DD0"/>
    <w:rsid w:val="00F92235"/>
    <w:rsid w:val="00FD2D6C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3B416"/>
  <w15:docId w15:val="{D45FB006-1886-4BB7-A707-F1ED1FA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0ED8-9EA9-4B3F-B265-51AEF250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Mitchell</dc:creator>
  <cp:lastModifiedBy>T James</cp:lastModifiedBy>
  <cp:revision>4</cp:revision>
  <cp:lastPrinted>2017-12-05T10:08:00Z</cp:lastPrinted>
  <dcterms:created xsi:type="dcterms:W3CDTF">2021-06-29T11:09:00Z</dcterms:created>
  <dcterms:modified xsi:type="dcterms:W3CDTF">2021-06-30T15:38:00Z</dcterms:modified>
</cp:coreProperties>
</file>